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3C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  <w:t>玉龙垃圾填埋场修复工程</w:t>
      </w:r>
      <w:r>
        <w:rPr>
          <w:rFonts w:hint="eastAsia" w:ascii="宋体" w:hAnsi="宋体" w:eastAsia="宋体" w:cs="宋体"/>
          <w:b/>
          <w:bCs/>
          <w:sz w:val="28"/>
          <w:szCs w:val="36"/>
          <w:highlight w:val="none"/>
          <w:lang w:val="en-US" w:eastAsia="zh-CN"/>
        </w:rPr>
        <w:t>碳排放监测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184"/>
        <w:gridCol w:w="1312"/>
        <w:gridCol w:w="3894"/>
        <w:gridCol w:w="935"/>
        <w:gridCol w:w="970"/>
        <w:gridCol w:w="1476"/>
        <w:gridCol w:w="1419"/>
        <w:gridCol w:w="1276"/>
      </w:tblGrid>
      <w:tr w14:paraId="79CC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7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构建基于物料衡算－实测法相结合的填埋场修复工程精准碳排放核算体系</w:t>
            </w:r>
          </w:p>
        </w:tc>
      </w:tr>
      <w:tr w14:paraId="0F94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BD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0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填埋场修复工程精准碳排放核算体系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1、对玉龙垃圾填埋场修复过程的碳排放源进行识别归类；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2、基于排放源的识别和划分情况，结合现场监测结果以及相关电力、能源、垃圾处理的台帐或统计报表；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3、构建基于物料衡算－实测法相结合的精准碳排放核算体系；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4、含交通费、打印费等费用；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5、满足招标文件、技术要求及相关规范要求。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3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3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0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D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4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87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CF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8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7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碳排放及相关指标现状监测</w:t>
            </w:r>
          </w:p>
        </w:tc>
      </w:tr>
      <w:tr w14:paraId="5D7C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监测对象及内容</w:t>
            </w:r>
          </w:p>
        </w:tc>
        <w:tc>
          <w:tcPr>
            <w:tcW w:w="1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监测指标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监测工程量            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0F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填埋场垃圾原样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组分分析</w:t>
            </w:r>
          </w:p>
        </w:tc>
        <w:tc>
          <w:tcPr>
            <w:tcW w:w="13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组分分析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E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4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8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1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A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含水率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2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A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3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3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5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4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灰分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0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7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8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B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3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7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挥发分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1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8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C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F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0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8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2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D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1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C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8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F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低位热值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A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A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5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9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4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3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高位热值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9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D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B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0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含水率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3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C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C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2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9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9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灰分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7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1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8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2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F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6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挥发分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E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1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5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7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E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F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4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1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E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C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B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低位热值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7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5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6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5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7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F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高位热值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4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7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D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3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1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有机物质含量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C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D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E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6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填埋气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填埋气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0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1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A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5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9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C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氧化亚氮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9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6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3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6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8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甲烷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9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E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2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5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垃圾产气产能测试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9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3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取样如有开挖面无需钻孔</w:t>
            </w:r>
          </w:p>
        </w:tc>
      </w:tr>
      <w:tr w14:paraId="4395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筛上物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组分分析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组分分析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5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5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A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5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A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含水率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D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B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E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0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4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D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灰分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F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B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D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3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F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8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挥发分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1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7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E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1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8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0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E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0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0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1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D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7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低位热值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5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3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1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8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0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高位热值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B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A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C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A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筛下物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组分分析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组分分析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1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1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0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E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9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含水率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5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C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8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6C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1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F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灰分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B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B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E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9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7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3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挥发分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9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4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2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4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1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4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4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5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2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7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3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8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低位热值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8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5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1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5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5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0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高位热值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3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5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C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7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腐殖土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含水率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D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D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F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4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5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灰分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E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8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3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A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E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挥发分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F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0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2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E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7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3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9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6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2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6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B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0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低位热值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F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C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E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7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3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2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高位热值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B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C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D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6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渗滤液预处理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尾气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4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1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C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E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A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氧化亚氮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5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9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9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6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7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D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甲烷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A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B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5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C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E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进出水水质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4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9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F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1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4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1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总有机碳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7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6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4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3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2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0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8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E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3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3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B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2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点·次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F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F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7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7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4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5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5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0520E3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A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2025-03-25T01:06:26Z</dcterms:created>
  <dc:creator>95788</dc:creator>
  <cp:lastModifiedBy>Xu.Y.L.</cp:lastModifiedBy>
  <dcterms:modified xsi:type="dcterms:W3CDTF">2025-03-25T01:06:48Z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eyJoZGlkIjoiMGQ4NDFkY2U5NjM5MzcyNWYyY2EyNjhkYjRhOWY1NTciLCJ1c2VySWQiOiI3MTczMzgwNDMifQ==</vt:lpwstr>
  </property>
  <property fmtid="{D5CDD505-2E9C-101B-9397-08002B2CF9AE}" pid="4" name="ICV">
    <vt:lpwstr>857FAB7F8E4F4834BB6019E7B3E43841_12</vt:lpwstr>
  </property>
</Properties>
</file>